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19D" w:rsidRDefault="0052519D" w:rsidP="00E14229">
      <w:pPr>
        <w:autoSpaceDE w:val="0"/>
        <w:autoSpaceDN w:val="0"/>
        <w:adjustRightInd w:val="0"/>
        <w:rPr>
          <w:color w:val="000000"/>
        </w:rPr>
      </w:pPr>
    </w:p>
    <w:p w:rsidR="0052519D" w:rsidRDefault="0052519D" w:rsidP="00E14229">
      <w:pPr>
        <w:autoSpaceDE w:val="0"/>
        <w:autoSpaceDN w:val="0"/>
        <w:adjustRightInd w:val="0"/>
        <w:rPr>
          <w:color w:val="000000"/>
        </w:rPr>
      </w:pPr>
      <w:r>
        <w:rPr>
          <w:color w:val="000000"/>
        </w:rPr>
        <w:t>The SEC Request for Information (RFI) provides guidance through assumptions regarding the uniform fiduciary standard and the duty of loyalty. As noted, the RFI states these assumptions may not represent the views of the SEC. But they may, so they are important. The RFI provides a picture of fiduciary duties that are far less stringent than the fiduciary duties required by the Investment Advisers Act of 1940 Act. In summary, commenters should point out how these assumptions are bad for investors include these points:</w:t>
      </w:r>
    </w:p>
    <w:p w:rsidR="0052519D" w:rsidRDefault="0052519D" w:rsidP="00E14229">
      <w:pPr>
        <w:autoSpaceDE w:val="0"/>
        <w:autoSpaceDN w:val="0"/>
        <w:adjustRightInd w:val="0"/>
        <w:rPr>
          <w:color w:val="000000"/>
        </w:rPr>
      </w:pPr>
    </w:p>
    <w:p w:rsidR="0052519D" w:rsidRDefault="0052519D" w:rsidP="00A22DC9">
      <w:pPr>
        <w:numPr>
          <w:ilvl w:val="0"/>
          <w:numId w:val="10"/>
        </w:numPr>
        <w:autoSpaceDE w:val="0"/>
        <w:autoSpaceDN w:val="0"/>
        <w:adjustRightInd w:val="0"/>
        <w:rPr>
          <w:color w:val="000000"/>
        </w:rPr>
      </w:pPr>
      <w:r>
        <w:rPr>
          <w:color w:val="000000"/>
          <w:u w:val="single"/>
        </w:rPr>
        <w:t>Do not restrict what communications are</w:t>
      </w:r>
      <w:r w:rsidRPr="00135FFB">
        <w:rPr>
          <w:color w:val="000000"/>
          <w:u w:val="single"/>
        </w:rPr>
        <w:t xml:space="preserve"> fiduc</w:t>
      </w:r>
      <w:bookmarkStart w:id="0" w:name="_GoBack"/>
      <w:bookmarkEnd w:id="0"/>
      <w:r w:rsidRPr="00135FFB">
        <w:rPr>
          <w:color w:val="000000"/>
          <w:u w:val="single"/>
        </w:rPr>
        <w:t>iary advice.</w:t>
      </w:r>
      <w:r w:rsidR="00E0239B">
        <w:rPr>
          <w:color w:val="000000"/>
        </w:rPr>
        <w:t xml:space="preserve"> The assumptions </w:t>
      </w:r>
      <w:r>
        <w:rPr>
          <w:color w:val="000000"/>
        </w:rPr>
        <w:t xml:space="preserve">narrowly define written or oral communications and circumstances that are clearly deemed “fiduciary advice,” and suggest a ‘facts and circumstances’ exploration will be necessary to determine whether much written or verbal communications constitute fiduciary advice. This restricts what statements must meet the fiduciary standard.  </w:t>
      </w:r>
    </w:p>
    <w:p w:rsidR="0052519D" w:rsidRDefault="0052519D" w:rsidP="00E14229">
      <w:pPr>
        <w:autoSpaceDE w:val="0"/>
        <w:autoSpaceDN w:val="0"/>
        <w:adjustRightInd w:val="0"/>
        <w:ind w:left="720"/>
        <w:rPr>
          <w:color w:val="000000"/>
        </w:rPr>
      </w:pPr>
    </w:p>
    <w:p w:rsidR="0052519D" w:rsidRDefault="0052519D" w:rsidP="00E14229">
      <w:pPr>
        <w:numPr>
          <w:ilvl w:val="0"/>
          <w:numId w:val="10"/>
        </w:numPr>
        <w:autoSpaceDE w:val="0"/>
        <w:autoSpaceDN w:val="0"/>
        <w:adjustRightInd w:val="0"/>
        <w:rPr>
          <w:color w:val="000000"/>
        </w:rPr>
      </w:pPr>
      <w:r>
        <w:rPr>
          <w:color w:val="000000"/>
          <w:u w:val="single"/>
        </w:rPr>
        <w:t xml:space="preserve">Do not allow </w:t>
      </w:r>
      <w:r w:rsidRPr="00135FFB">
        <w:rPr>
          <w:color w:val="000000"/>
          <w:u w:val="single"/>
        </w:rPr>
        <w:t>fiduciary duties be waived</w:t>
      </w:r>
      <w:r>
        <w:rPr>
          <w:color w:val="000000"/>
        </w:rPr>
        <w:t xml:space="preserve">. The assumptions explicitly allows fiduciary duties to be waived through contract provisions, marketing materials or disclosure.  This could allow a broker to waive most advice as ‘non fiduciary.’ </w:t>
      </w:r>
    </w:p>
    <w:p w:rsidR="0052519D" w:rsidRDefault="0052519D" w:rsidP="00A22DC9">
      <w:pPr>
        <w:autoSpaceDE w:val="0"/>
        <w:autoSpaceDN w:val="0"/>
        <w:adjustRightInd w:val="0"/>
        <w:rPr>
          <w:color w:val="000000"/>
        </w:rPr>
      </w:pPr>
    </w:p>
    <w:p w:rsidR="0052519D" w:rsidRDefault="0052519D" w:rsidP="00A22DC9">
      <w:pPr>
        <w:autoSpaceDE w:val="0"/>
        <w:autoSpaceDN w:val="0"/>
        <w:adjustRightInd w:val="0"/>
        <w:ind w:left="720"/>
        <w:rPr>
          <w:color w:val="000000"/>
        </w:rPr>
      </w:pPr>
      <w:r>
        <w:rPr>
          <w:color w:val="000000"/>
          <w:u w:val="single"/>
        </w:rPr>
        <w:t>(These first two points together could make the fiduciary standard to be a “sometimes” or “occasional” fiduciary standard</w:t>
      </w:r>
      <w:r w:rsidRPr="00A22DC9">
        <w:rPr>
          <w:color w:val="000000"/>
        </w:rPr>
        <w:t>.</w:t>
      </w:r>
      <w:r>
        <w:rPr>
          <w:color w:val="000000"/>
        </w:rPr>
        <w:t xml:space="preserve">  </w:t>
      </w:r>
    </w:p>
    <w:p w:rsidR="0052519D" w:rsidRDefault="0052519D" w:rsidP="00E14229">
      <w:pPr>
        <w:autoSpaceDE w:val="0"/>
        <w:autoSpaceDN w:val="0"/>
        <w:adjustRightInd w:val="0"/>
        <w:rPr>
          <w:color w:val="000000"/>
        </w:rPr>
      </w:pPr>
    </w:p>
    <w:p w:rsidR="0052519D" w:rsidRDefault="0052519D" w:rsidP="00E14229">
      <w:pPr>
        <w:numPr>
          <w:ilvl w:val="0"/>
          <w:numId w:val="10"/>
        </w:numPr>
        <w:autoSpaceDE w:val="0"/>
        <w:autoSpaceDN w:val="0"/>
        <w:adjustRightInd w:val="0"/>
        <w:rPr>
          <w:color w:val="000000"/>
        </w:rPr>
      </w:pPr>
      <w:r>
        <w:rPr>
          <w:color w:val="000000"/>
          <w:u w:val="single"/>
        </w:rPr>
        <w:t>Do not promote disclosure as the best way to address conflicts; promote avoiding conflicts</w:t>
      </w:r>
      <w:r>
        <w:rPr>
          <w:color w:val="000000"/>
        </w:rPr>
        <w:t>. Stressing</w:t>
      </w:r>
      <w:r w:rsidRPr="004B5644">
        <w:t xml:space="preserve"> disclosing conflicts</w:t>
      </w:r>
      <w:r>
        <w:t xml:space="preserve">, as the current assumptions do, and not </w:t>
      </w:r>
      <w:r w:rsidRPr="004B5644">
        <w:t>avoiding conflicts</w:t>
      </w:r>
      <w:r>
        <w:t xml:space="preserve"> suggests disclosure is the best way to address conflicts. This is wrong and bad for investors. </w:t>
      </w:r>
    </w:p>
    <w:p w:rsidR="0052519D" w:rsidRDefault="0052519D" w:rsidP="00E14229">
      <w:pPr>
        <w:autoSpaceDE w:val="0"/>
        <w:autoSpaceDN w:val="0"/>
        <w:adjustRightInd w:val="0"/>
        <w:rPr>
          <w:color w:val="000000"/>
        </w:rPr>
      </w:pPr>
    </w:p>
    <w:p w:rsidR="0052519D" w:rsidRDefault="0052519D" w:rsidP="00E14229">
      <w:pPr>
        <w:numPr>
          <w:ilvl w:val="0"/>
          <w:numId w:val="10"/>
        </w:numPr>
        <w:autoSpaceDE w:val="0"/>
        <w:autoSpaceDN w:val="0"/>
        <w:adjustRightInd w:val="0"/>
        <w:rPr>
          <w:color w:val="000000"/>
        </w:rPr>
      </w:pPr>
      <w:r>
        <w:rPr>
          <w:color w:val="000000"/>
          <w:u w:val="single"/>
        </w:rPr>
        <w:t>For unavoidable material conflicts, require client’s providing informed consent for each transaction</w:t>
      </w:r>
      <w:r w:rsidRPr="00BB3FDF">
        <w:rPr>
          <w:color w:val="000000"/>
          <w:u w:val="single"/>
        </w:rPr>
        <w:t>.</w:t>
      </w:r>
      <w:r>
        <w:rPr>
          <w:color w:val="000000"/>
        </w:rPr>
        <w:t xml:space="preserve"> The current assumptions allow more casual disclosure and oral disclosure (disclosure that is more “efficient” for the firm to deliver) while, not requiring either “client consent” or “informed client consent” of material conflicts of interest (disclosure which are more effective for the client). </w:t>
      </w:r>
    </w:p>
    <w:p w:rsidR="0052519D" w:rsidRDefault="0052519D" w:rsidP="00E14229">
      <w:pPr>
        <w:autoSpaceDE w:val="0"/>
        <w:autoSpaceDN w:val="0"/>
        <w:adjustRightInd w:val="0"/>
        <w:rPr>
          <w:color w:val="000000"/>
        </w:rPr>
      </w:pPr>
    </w:p>
    <w:p w:rsidR="0052519D" w:rsidRDefault="0052519D" w:rsidP="00E14229">
      <w:pPr>
        <w:numPr>
          <w:ilvl w:val="0"/>
          <w:numId w:val="10"/>
        </w:numPr>
        <w:autoSpaceDE w:val="0"/>
        <w:autoSpaceDN w:val="0"/>
        <w:adjustRightInd w:val="0"/>
        <w:rPr>
          <w:color w:val="000000"/>
        </w:rPr>
      </w:pPr>
      <w:r>
        <w:rPr>
          <w:color w:val="000000"/>
          <w:u w:val="single"/>
        </w:rPr>
        <w:t xml:space="preserve">Stress the harms of </w:t>
      </w:r>
      <w:r w:rsidRPr="0034532F">
        <w:rPr>
          <w:i/>
          <w:color w:val="000000"/>
          <w:u w:val="single"/>
        </w:rPr>
        <w:t>conflicts</w:t>
      </w:r>
      <w:r w:rsidRPr="007E7026">
        <w:rPr>
          <w:color w:val="000000"/>
          <w:u w:val="single"/>
        </w:rPr>
        <w:t>.</w:t>
      </w:r>
      <w:r>
        <w:rPr>
          <w:color w:val="000000"/>
        </w:rPr>
        <w:t xml:space="preserve"> The current assumptions minimize the stigmas associated with conflicts. They rebrand them. They question whether principal trading is, in fact, always a conflict. They omit any mention that harms are associated with conflicts. They omit any mention of associated benefits or appropriateness of avoiding conflicts. They omit urging broker dealers and investment advisers to avoid conflicts. By these omissions, conflicts are implied to be less harmful or OK. This is backwards.   </w:t>
      </w:r>
    </w:p>
    <w:p w:rsidR="0052519D" w:rsidRDefault="0052519D" w:rsidP="00E14229">
      <w:pPr>
        <w:autoSpaceDE w:val="0"/>
        <w:autoSpaceDN w:val="0"/>
        <w:adjustRightInd w:val="0"/>
        <w:rPr>
          <w:color w:val="000000"/>
        </w:rPr>
      </w:pPr>
    </w:p>
    <w:p w:rsidR="0052519D" w:rsidRDefault="0052519D" w:rsidP="00E14229">
      <w:pPr>
        <w:numPr>
          <w:ilvl w:val="0"/>
          <w:numId w:val="10"/>
        </w:numPr>
        <w:autoSpaceDE w:val="0"/>
        <w:autoSpaceDN w:val="0"/>
        <w:adjustRightInd w:val="0"/>
        <w:rPr>
          <w:color w:val="000000"/>
        </w:rPr>
      </w:pPr>
      <w:r>
        <w:rPr>
          <w:color w:val="000000"/>
          <w:u w:val="single"/>
        </w:rPr>
        <w:t>Stress what</w:t>
      </w:r>
      <w:r w:rsidRPr="007E7026">
        <w:rPr>
          <w:color w:val="000000"/>
          <w:u w:val="single"/>
        </w:rPr>
        <w:t xml:space="preserve"> </w:t>
      </w:r>
      <w:r>
        <w:rPr>
          <w:color w:val="000000"/>
          <w:u w:val="single"/>
        </w:rPr>
        <w:t>“</w:t>
      </w:r>
      <w:r w:rsidRPr="0034532F">
        <w:rPr>
          <w:i/>
          <w:color w:val="000000"/>
          <w:u w:val="single"/>
        </w:rPr>
        <w:t>loyalty</w:t>
      </w:r>
      <w:r>
        <w:rPr>
          <w:i/>
          <w:color w:val="000000"/>
          <w:u w:val="single"/>
        </w:rPr>
        <w:t xml:space="preserve">” </w:t>
      </w:r>
      <w:r>
        <w:rPr>
          <w:color w:val="000000"/>
          <w:u w:val="single"/>
        </w:rPr>
        <w:t>means</w:t>
      </w:r>
      <w:r w:rsidRPr="007E7026">
        <w:rPr>
          <w:color w:val="000000"/>
          <w:u w:val="single"/>
        </w:rPr>
        <w:t>.</w:t>
      </w:r>
      <w:r>
        <w:rPr>
          <w:color w:val="000000"/>
        </w:rPr>
        <w:t xml:space="preserve"> By minimizing the harm of conflicts, the assumptions effectively redefine </w:t>
      </w:r>
      <w:r w:rsidRPr="0069354C">
        <w:rPr>
          <w:i/>
          <w:color w:val="000000"/>
        </w:rPr>
        <w:t>loyalty</w:t>
      </w:r>
      <w:r>
        <w:rPr>
          <w:color w:val="000000"/>
        </w:rPr>
        <w:t>. In its essence, the ‘duty of loyalty’ today means “do the right thing.” In these assumptions it means “disclose doing the wrong thing.” This is wrong and bad for investors.</w:t>
      </w:r>
    </w:p>
    <w:p w:rsidR="0052519D" w:rsidRPr="00C42556" w:rsidRDefault="0052519D" w:rsidP="00C42556">
      <w:pPr>
        <w:autoSpaceDE w:val="0"/>
        <w:autoSpaceDN w:val="0"/>
        <w:adjustRightInd w:val="0"/>
        <w:rPr>
          <w:color w:val="000000"/>
        </w:rPr>
      </w:pPr>
      <w:r>
        <w:rPr>
          <w:color w:val="000000"/>
        </w:rPr>
        <w:t xml:space="preserve"> </w:t>
      </w:r>
    </w:p>
    <w:sectPr w:rsidR="0052519D" w:rsidRPr="00C42556" w:rsidSect="00F33691">
      <w:headerReference w:type="default" r:id="rId7"/>
      <w:footerReference w:type="even" r:id="rId8"/>
      <w:footerReference w:type="default" r:id="rId9"/>
      <w:pgSz w:w="12240" w:h="15840"/>
      <w:pgMar w:top="2160"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2ED" w:rsidRDefault="003C12ED" w:rsidP="009B59D0">
      <w:r>
        <w:separator/>
      </w:r>
    </w:p>
  </w:endnote>
  <w:endnote w:type="continuationSeparator" w:id="0">
    <w:p w:rsidR="003C12ED" w:rsidRDefault="003C12ED" w:rsidP="009B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
    <w:altName w:val="Kozuka Mincho Pro R"/>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9D" w:rsidRDefault="0052519D" w:rsidP="00BD0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519D" w:rsidRDefault="0052519D" w:rsidP="002D6D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9D" w:rsidRDefault="0052519D" w:rsidP="00BD0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39B">
      <w:rPr>
        <w:rStyle w:val="PageNumber"/>
        <w:noProof/>
      </w:rPr>
      <w:t>1</w:t>
    </w:r>
    <w:r>
      <w:rPr>
        <w:rStyle w:val="PageNumber"/>
      </w:rPr>
      <w:fldChar w:fldCharType="end"/>
    </w:r>
  </w:p>
  <w:p w:rsidR="0052519D" w:rsidRDefault="0052519D" w:rsidP="002D6D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2ED" w:rsidRDefault="003C12ED" w:rsidP="009B59D0">
      <w:r>
        <w:separator/>
      </w:r>
    </w:p>
  </w:footnote>
  <w:footnote w:type="continuationSeparator" w:id="0">
    <w:p w:rsidR="003C12ED" w:rsidRDefault="003C12ED" w:rsidP="009B5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9D" w:rsidRDefault="00E0239B">
    <w:pPr>
      <w:pStyle w:val="Header"/>
    </w:pPr>
    <w:r>
      <w:rPr>
        <w:noProof/>
      </w:rPr>
      <w:drawing>
        <wp:anchor distT="0" distB="0" distL="114300" distR="114300" simplePos="0" relativeHeight="251660288" behindDoc="0" locked="0" layoutInCell="1" allowOverlap="1">
          <wp:simplePos x="0" y="0"/>
          <wp:positionH relativeFrom="column">
            <wp:posOffset>-558800</wp:posOffset>
          </wp:positionH>
          <wp:positionV relativeFrom="paragraph">
            <wp:posOffset>24765</wp:posOffset>
          </wp:positionV>
          <wp:extent cx="3683000" cy="613410"/>
          <wp:effectExtent l="0" t="0" r="0" b="0"/>
          <wp:wrapTight wrapText="bothSides">
            <wp:wrapPolygon edited="0">
              <wp:start x="0" y="0"/>
              <wp:lineTo x="0" y="20795"/>
              <wp:lineTo x="21451" y="20795"/>
              <wp:lineTo x="21451"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11620" b="9898"/>
                  <a:stretch>
                    <a:fillRect/>
                  </a:stretch>
                </pic:blipFill>
                <pic:spPr bwMode="auto">
                  <a:xfrm>
                    <a:off x="0" y="0"/>
                    <a:ext cx="3683000" cy="6134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A47C8"/>
    <w:multiLevelType w:val="hybridMultilevel"/>
    <w:tmpl w:val="7D9064E4"/>
    <w:lvl w:ilvl="0" w:tplc="E4F634C2">
      <w:numFmt w:val="bullet"/>
      <w:lvlText w:val=""/>
      <w:lvlJc w:val="left"/>
      <w:pPr>
        <w:tabs>
          <w:tab w:val="num" w:pos="720"/>
        </w:tabs>
        <w:ind w:left="720" w:hanging="360"/>
      </w:pPr>
      <w:rPr>
        <w:rFonts w:ascii="Symbol" w:eastAsia="MS ??" w:hAnsi="Symbol" w:hint="default"/>
        <w:b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7D00FD"/>
    <w:multiLevelType w:val="multilevel"/>
    <w:tmpl w:val="3996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F3ABD"/>
    <w:multiLevelType w:val="hybridMultilevel"/>
    <w:tmpl w:val="CEC018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CA36DEE"/>
    <w:multiLevelType w:val="hybridMultilevel"/>
    <w:tmpl w:val="F948F39E"/>
    <w:lvl w:ilvl="0" w:tplc="317CD7E4">
      <w:start w:val="11"/>
      <w:numFmt w:val="bullet"/>
      <w:lvlText w:val=""/>
      <w:lvlJc w:val="left"/>
      <w:pPr>
        <w:tabs>
          <w:tab w:val="num" w:pos="720"/>
        </w:tabs>
        <w:ind w:left="720" w:hanging="360"/>
      </w:pPr>
      <w:rPr>
        <w:rFonts w:ascii="Symbol" w:eastAsia="MS ??"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7E5473"/>
    <w:multiLevelType w:val="hybridMultilevel"/>
    <w:tmpl w:val="FEC8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52D46"/>
    <w:multiLevelType w:val="hybridMultilevel"/>
    <w:tmpl w:val="B7F6C6D2"/>
    <w:lvl w:ilvl="0" w:tplc="5EE055AA">
      <w:start w:val="5"/>
      <w:numFmt w:val="bullet"/>
      <w:lvlText w:val=""/>
      <w:lvlJc w:val="left"/>
      <w:pPr>
        <w:tabs>
          <w:tab w:val="num" w:pos="720"/>
        </w:tabs>
        <w:ind w:left="720" w:hanging="360"/>
      </w:pPr>
      <w:rPr>
        <w:rFonts w:ascii="Symbol" w:eastAsia="MS ??"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0936A3"/>
    <w:multiLevelType w:val="hybridMultilevel"/>
    <w:tmpl w:val="5FF82F28"/>
    <w:lvl w:ilvl="0" w:tplc="CBE80954">
      <w:numFmt w:val="bullet"/>
      <w:lvlText w:val=""/>
      <w:lvlJc w:val="left"/>
      <w:pPr>
        <w:tabs>
          <w:tab w:val="num" w:pos="720"/>
        </w:tabs>
        <w:ind w:left="720" w:hanging="360"/>
      </w:pPr>
      <w:rPr>
        <w:rFonts w:ascii="Symbol" w:eastAsia="MS ??"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34D7A2F"/>
    <w:multiLevelType w:val="hybridMultilevel"/>
    <w:tmpl w:val="FA98268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BF636CF"/>
    <w:multiLevelType w:val="hybridMultilevel"/>
    <w:tmpl w:val="CD12A8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42C2AC6"/>
    <w:multiLevelType w:val="hybridMultilevel"/>
    <w:tmpl w:val="053ADCA4"/>
    <w:lvl w:ilvl="0" w:tplc="431AB2F8">
      <w:start w:val="1"/>
      <w:numFmt w:val="bullet"/>
      <w:lvlText w:val=""/>
      <w:lvlJc w:val="left"/>
      <w:pPr>
        <w:tabs>
          <w:tab w:val="num" w:pos="720"/>
        </w:tabs>
        <w:ind w:left="720" w:hanging="360"/>
      </w:pPr>
      <w:rPr>
        <w:rFonts w:ascii="Symbol" w:eastAsia="SimSun" w:hAnsi="Symbol" w:hint="default"/>
      </w:rPr>
    </w:lvl>
    <w:lvl w:ilvl="1" w:tplc="089ED8FE">
      <w:start w:val="5"/>
      <w:numFmt w:val="bullet"/>
      <w:lvlText w:val=""/>
      <w:lvlJc w:val="left"/>
      <w:pPr>
        <w:tabs>
          <w:tab w:val="num" w:pos="1440"/>
        </w:tabs>
        <w:ind w:left="1440" w:hanging="360"/>
      </w:pPr>
      <w:rPr>
        <w:rFonts w:ascii="Wingdings" w:eastAsia="SimSu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1A"/>
    <w:rsid w:val="00025D40"/>
    <w:rsid w:val="00036FBA"/>
    <w:rsid w:val="00040BEF"/>
    <w:rsid w:val="00045281"/>
    <w:rsid w:val="00050F7D"/>
    <w:rsid w:val="00061D7E"/>
    <w:rsid w:val="00062922"/>
    <w:rsid w:val="00064E2E"/>
    <w:rsid w:val="00072559"/>
    <w:rsid w:val="00075404"/>
    <w:rsid w:val="00084D3D"/>
    <w:rsid w:val="000875B6"/>
    <w:rsid w:val="00093295"/>
    <w:rsid w:val="000A1851"/>
    <w:rsid w:val="000B5BE4"/>
    <w:rsid w:val="000C6B43"/>
    <w:rsid w:val="000D06D6"/>
    <w:rsid w:val="000D12C0"/>
    <w:rsid w:val="000D351A"/>
    <w:rsid w:val="000D4503"/>
    <w:rsid w:val="000E425F"/>
    <w:rsid w:val="000F630C"/>
    <w:rsid w:val="0010003E"/>
    <w:rsid w:val="001110E0"/>
    <w:rsid w:val="001110F0"/>
    <w:rsid w:val="001127D2"/>
    <w:rsid w:val="00113506"/>
    <w:rsid w:val="00132632"/>
    <w:rsid w:val="001328CD"/>
    <w:rsid w:val="00134DE7"/>
    <w:rsid w:val="00135F86"/>
    <w:rsid w:val="00135FFB"/>
    <w:rsid w:val="001404FB"/>
    <w:rsid w:val="0014102C"/>
    <w:rsid w:val="0014405C"/>
    <w:rsid w:val="001442C0"/>
    <w:rsid w:val="0015487C"/>
    <w:rsid w:val="001624AD"/>
    <w:rsid w:val="00165471"/>
    <w:rsid w:val="00165C5A"/>
    <w:rsid w:val="0017418F"/>
    <w:rsid w:val="001772D7"/>
    <w:rsid w:val="00182B9E"/>
    <w:rsid w:val="00182FA6"/>
    <w:rsid w:val="001911DF"/>
    <w:rsid w:val="001914DE"/>
    <w:rsid w:val="00193A4B"/>
    <w:rsid w:val="001A5061"/>
    <w:rsid w:val="001B0C8D"/>
    <w:rsid w:val="001B321F"/>
    <w:rsid w:val="001B43DD"/>
    <w:rsid w:val="001B595F"/>
    <w:rsid w:val="001B597A"/>
    <w:rsid w:val="001C0A6C"/>
    <w:rsid w:val="001E0307"/>
    <w:rsid w:val="001E4A23"/>
    <w:rsid w:val="001E6302"/>
    <w:rsid w:val="001F0AA5"/>
    <w:rsid w:val="001F3D44"/>
    <w:rsid w:val="001F4D2A"/>
    <w:rsid w:val="001F582D"/>
    <w:rsid w:val="00200EA3"/>
    <w:rsid w:val="002012AE"/>
    <w:rsid w:val="00204D09"/>
    <w:rsid w:val="00214038"/>
    <w:rsid w:val="0022581A"/>
    <w:rsid w:val="00226E48"/>
    <w:rsid w:val="0023045D"/>
    <w:rsid w:val="00235011"/>
    <w:rsid w:val="00236772"/>
    <w:rsid w:val="002369D9"/>
    <w:rsid w:val="002567B1"/>
    <w:rsid w:val="002633FF"/>
    <w:rsid w:val="00263543"/>
    <w:rsid w:val="002643A9"/>
    <w:rsid w:val="00265A9D"/>
    <w:rsid w:val="00274402"/>
    <w:rsid w:val="0028480C"/>
    <w:rsid w:val="00296861"/>
    <w:rsid w:val="002A1FCA"/>
    <w:rsid w:val="002A62E7"/>
    <w:rsid w:val="002A79BF"/>
    <w:rsid w:val="002B0F55"/>
    <w:rsid w:val="002C1154"/>
    <w:rsid w:val="002C4BB2"/>
    <w:rsid w:val="002C6ADB"/>
    <w:rsid w:val="002C7FC5"/>
    <w:rsid w:val="002D1B6F"/>
    <w:rsid w:val="002D427C"/>
    <w:rsid w:val="002D6D2A"/>
    <w:rsid w:val="002E4074"/>
    <w:rsid w:val="002F01DD"/>
    <w:rsid w:val="003056CC"/>
    <w:rsid w:val="00305876"/>
    <w:rsid w:val="00307CDE"/>
    <w:rsid w:val="00315BBA"/>
    <w:rsid w:val="00332C4E"/>
    <w:rsid w:val="003345CC"/>
    <w:rsid w:val="003415C4"/>
    <w:rsid w:val="0034532F"/>
    <w:rsid w:val="00346D7E"/>
    <w:rsid w:val="003512F6"/>
    <w:rsid w:val="00356B4E"/>
    <w:rsid w:val="00367BE3"/>
    <w:rsid w:val="00367FA8"/>
    <w:rsid w:val="003749B3"/>
    <w:rsid w:val="00374E57"/>
    <w:rsid w:val="00383AA8"/>
    <w:rsid w:val="003901EB"/>
    <w:rsid w:val="00393F10"/>
    <w:rsid w:val="003958CC"/>
    <w:rsid w:val="003A0C0B"/>
    <w:rsid w:val="003A3E11"/>
    <w:rsid w:val="003A4038"/>
    <w:rsid w:val="003A4542"/>
    <w:rsid w:val="003A7112"/>
    <w:rsid w:val="003C12ED"/>
    <w:rsid w:val="003C2366"/>
    <w:rsid w:val="003D381D"/>
    <w:rsid w:val="003E2185"/>
    <w:rsid w:val="003E2D89"/>
    <w:rsid w:val="003E3684"/>
    <w:rsid w:val="00401FDB"/>
    <w:rsid w:val="0040485F"/>
    <w:rsid w:val="00411402"/>
    <w:rsid w:val="00415206"/>
    <w:rsid w:val="00425791"/>
    <w:rsid w:val="004270EB"/>
    <w:rsid w:val="00450A7C"/>
    <w:rsid w:val="00454B2A"/>
    <w:rsid w:val="00457303"/>
    <w:rsid w:val="00457BAD"/>
    <w:rsid w:val="004605B5"/>
    <w:rsid w:val="00463133"/>
    <w:rsid w:val="004707F0"/>
    <w:rsid w:val="00471072"/>
    <w:rsid w:val="004714C2"/>
    <w:rsid w:val="004772F0"/>
    <w:rsid w:val="00480BB1"/>
    <w:rsid w:val="00484555"/>
    <w:rsid w:val="00485E37"/>
    <w:rsid w:val="00497EB4"/>
    <w:rsid w:val="004A0B6E"/>
    <w:rsid w:val="004A264F"/>
    <w:rsid w:val="004B5644"/>
    <w:rsid w:val="004B7612"/>
    <w:rsid w:val="004C4EB3"/>
    <w:rsid w:val="004D71F4"/>
    <w:rsid w:val="004D7BAE"/>
    <w:rsid w:val="004E5AEC"/>
    <w:rsid w:val="004F6FE7"/>
    <w:rsid w:val="004F7936"/>
    <w:rsid w:val="0050289E"/>
    <w:rsid w:val="00510242"/>
    <w:rsid w:val="00513915"/>
    <w:rsid w:val="00514AA8"/>
    <w:rsid w:val="00520E3A"/>
    <w:rsid w:val="0052157B"/>
    <w:rsid w:val="0052519D"/>
    <w:rsid w:val="0052530E"/>
    <w:rsid w:val="00526D54"/>
    <w:rsid w:val="00532BE1"/>
    <w:rsid w:val="0053553B"/>
    <w:rsid w:val="00542907"/>
    <w:rsid w:val="00552E15"/>
    <w:rsid w:val="00581EC1"/>
    <w:rsid w:val="00591F16"/>
    <w:rsid w:val="005A01A6"/>
    <w:rsid w:val="005A3EB3"/>
    <w:rsid w:val="005B0B91"/>
    <w:rsid w:val="005C48FB"/>
    <w:rsid w:val="005C609A"/>
    <w:rsid w:val="005C6734"/>
    <w:rsid w:val="005D0607"/>
    <w:rsid w:val="005D08A3"/>
    <w:rsid w:val="005E2DE1"/>
    <w:rsid w:val="005E51C2"/>
    <w:rsid w:val="00604E9A"/>
    <w:rsid w:val="00606688"/>
    <w:rsid w:val="006179DF"/>
    <w:rsid w:val="00634184"/>
    <w:rsid w:val="006361F3"/>
    <w:rsid w:val="00641BF2"/>
    <w:rsid w:val="00645915"/>
    <w:rsid w:val="00647E51"/>
    <w:rsid w:val="00656080"/>
    <w:rsid w:val="00656A08"/>
    <w:rsid w:val="006606D7"/>
    <w:rsid w:val="0066603D"/>
    <w:rsid w:val="00672B94"/>
    <w:rsid w:val="0067698E"/>
    <w:rsid w:val="00677225"/>
    <w:rsid w:val="0068136A"/>
    <w:rsid w:val="00686E4F"/>
    <w:rsid w:val="0069167B"/>
    <w:rsid w:val="006933FC"/>
    <w:rsid w:val="0069354C"/>
    <w:rsid w:val="006A096E"/>
    <w:rsid w:val="006A1E58"/>
    <w:rsid w:val="006B5F90"/>
    <w:rsid w:val="006B68BF"/>
    <w:rsid w:val="006C4F8D"/>
    <w:rsid w:val="006C50D4"/>
    <w:rsid w:val="006D40E2"/>
    <w:rsid w:val="006D49DE"/>
    <w:rsid w:val="006D760F"/>
    <w:rsid w:val="00703CEB"/>
    <w:rsid w:val="00706CB6"/>
    <w:rsid w:val="00717D15"/>
    <w:rsid w:val="007328EA"/>
    <w:rsid w:val="00737C30"/>
    <w:rsid w:val="00750753"/>
    <w:rsid w:val="00761098"/>
    <w:rsid w:val="00762D96"/>
    <w:rsid w:val="00763637"/>
    <w:rsid w:val="00765312"/>
    <w:rsid w:val="00795467"/>
    <w:rsid w:val="007979B4"/>
    <w:rsid w:val="007A18E3"/>
    <w:rsid w:val="007A1F68"/>
    <w:rsid w:val="007A61B7"/>
    <w:rsid w:val="007B1BF9"/>
    <w:rsid w:val="007B2464"/>
    <w:rsid w:val="007B4F8A"/>
    <w:rsid w:val="007C2F6F"/>
    <w:rsid w:val="007E7026"/>
    <w:rsid w:val="007F27D4"/>
    <w:rsid w:val="00801880"/>
    <w:rsid w:val="00806EAB"/>
    <w:rsid w:val="00807414"/>
    <w:rsid w:val="008113E4"/>
    <w:rsid w:val="00833722"/>
    <w:rsid w:val="00852D81"/>
    <w:rsid w:val="00856307"/>
    <w:rsid w:val="00860826"/>
    <w:rsid w:val="00863B12"/>
    <w:rsid w:val="00864154"/>
    <w:rsid w:val="008671CC"/>
    <w:rsid w:val="00874861"/>
    <w:rsid w:val="00890D98"/>
    <w:rsid w:val="0089166A"/>
    <w:rsid w:val="008A45D5"/>
    <w:rsid w:val="008A4FB2"/>
    <w:rsid w:val="008A6F8F"/>
    <w:rsid w:val="008B2DB9"/>
    <w:rsid w:val="008C28C8"/>
    <w:rsid w:val="008C344E"/>
    <w:rsid w:val="008C3F4A"/>
    <w:rsid w:val="008C5874"/>
    <w:rsid w:val="008C5B2B"/>
    <w:rsid w:val="008D0C52"/>
    <w:rsid w:val="008E422F"/>
    <w:rsid w:val="008F1E39"/>
    <w:rsid w:val="008F6E1D"/>
    <w:rsid w:val="009056A7"/>
    <w:rsid w:val="00907A4E"/>
    <w:rsid w:val="00911B06"/>
    <w:rsid w:val="00921545"/>
    <w:rsid w:val="009236E1"/>
    <w:rsid w:val="0093297D"/>
    <w:rsid w:val="00935B81"/>
    <w:rsid w:val="00936CC7"/>
    <w:rsid w:val="009402D8"/>
    <w:rsid w:val="00942EE4"/>
    <w:rsid w:val="0094644D"/>
    <w:rsid w:val="0094710A"/>
    <w:rsid w:val="009508E3"/>
    <w:rsid w:val="00953D51"/>
    <w:rsid w:val="009552D6"/>
    <w:rsid w:val="009616BE"/>
    <w:rsid w:val="0096202C"/>
    <w:rsid w:val="0096518B"/>
    <w:rsid w:val="00967817"/>
    <w:rsid w:val="009844C0"/>
    <w:rsid w:val="00987494"/>
    <w:rsid w:val="00987D37"/>
    <w:rsid w:val="0099738A"/>
    <w:rsid w:val="009A1268"/>
    <w:rsid w:val="009A5C45"/>
    <w:rsid w:val="009B10C8"/>
    <w:rsid w:val="009B3D7A"/>
    <w:rsid w:val="009B528A"/>
    <w:rsid w:val="009B59D0"/>
    <w:rsid w:val="009C2E8E"/>
    <w:rsid w:val="009C48DA"/>
    <w:rsid w:val="009D26E2"/>
    <w:rsid w:val="009D59D1"/>
    <w:rsid w:val="009E6637"/>
    <w:rsid w:val="00A00D44"/>
    <w:rsid w:val="00A03E86"/>
    <w:rsid w:val="00A174A0"/>
    <w:rsid w:val="00A22DC9"/>
    <w:rsid w:val="00A31D5D"/>
    <w:rsid w:val="00A33C26"/>
    <w:rsid w:val="00A35CD5"/>
    <w:rsid w:val="00A465BC"/>
    <w:rsid w:val="00A4664F"/>
    <w:rsid w:val="00A56955"/>
    <w:rsid w:val="00A616E3"/>
    <w:rsid w:val="00A6426B"/>
    <w:rsid w:val="00A714CD"/>
    <w:rsid w:val="00A82179"/>
    <w:rsid w:val="00A836DD"/>
    <w:rsid w:val="00A854A2"/>
    <w:rsid w:val="00A85B44"/>
    <w:rsid w:val="00A87F09"/>
    <w:rsid w:val="00A95925"/>
    <w:rsid w:val="00AA1699"/>
    <w:rsid w:val="00AA2CF3"/>
    <w:rsid w:val="00AA6FFA"/>
    <w:rsid w:val="00AB00AF"/>
    <w:rsid w:val="00AB2B4D"/>
    <w:rsid w:val="00AB3100"/>
    <w:rsid w:val="00AB553F"/>
    <w:rsid w:val="00AB7D19"/>
    <w:rsid w:val="00AC6711"/>
    <w:rsid w:val="00AD1986"/>
    <w:rsid w:val="00AD42BF"/>
    <w:rsid w:val="00AD5D8D"/>
    <w:rsid w:val="00AD74D8"/>
    <w:rsid w:val="00AE469B"/>
    <w:rsid w:val="00AE6EDC"/>
    <w:rsid w:val="00B0772E"/>
    <w:rsid w:val="00B13E32"/>
    <w:rsid w:val="00B14033"/>
    <w:rsid w:val="00B15F58"/>
    <w:rsid w:val="00B16F92"/>
    <w:rsid w:val="00B21766"/>
    <w:rsid w:val="00B23462"/>
    <w:rsid w:val="00B366B3"/>
    <w:rsid w:val="00B525B7"/>
    <w:rsid w:val="00B529C6"/>
    <w:rsid w:val="00B5697A"/>
    <w:rsid w:val="00B56C10"/>
    <w:rsid w:val="00B5769A"/>
    <w:rsid w:val="00B62DC6"/>
    <w:rsid w:val="00B66060"/>
    <w:rsid w:val="00B70A24"/>
    <w:rsid w:val="00B72033"/>
    <w:rsid w:val="00B74371"/>
    <w:rsid w:val="00B81AB1"/>
    <w:rsid w:val="00B83723"/>
    <w:rsid w:val="00B91C12"/>
    <w:rsid w:val="00B9264D"/>
    <w:rsid w:val="00BA5167"/>
    <w:rsid w:val="00BB3FDF"/>
    <w:rsid w:val="00BB4B20"/>
    <w:rsid w:val="00BB5B5C"/>
    <w:rsid w:val="00BC492F"/>
    <w:rsid w:val="00BC4C95"/>
    <w:rsid w:val="00BC4DF7"/>
    <w:rsid w:val="00BD0FAA"/>
    <w:rsid w:val="00BD4BBB"/>
    <w:rsid w:val="00BE2678"/>
    <w:rsid w:val="00BE2B87"/>
    <w:rsid w:val="00BF0C86"/>
    <w:rsid w:val="00C03169"/>
    <w:rsid w:val="00C070DE"/>
    <w:rsid w:val="00C1533A"/>
    <w:rsid w:val="00C17521"/>
    <w:rsid w:val="00C20286"/>
    <w:rsid w:val="00C313E5"/>
    <w:rsid w:val="00C35D7E"/>
    <w:rsid w:val="00C3758A"/>
    <w:rsid w:val="00C37A7B"/>
    <w:rsid w:val="00C42556"/>
    <w:rsid w:val="00C42B14"/>
    <w:rsid w:val="00C44312"/>
    <w:rsid w:val="00C463BD"/>
    <w:rsid w:val="00C46E9B"/>
    <w:rsid w:val="00C47F95"/>
    <w:rsid w:val="00C553AB"/>
    <w:rsid w:val="00C575BC"/>
    <w:rsid w:val="00C57625"/>
    <w:rsid w:val="00C606C0"/>
    <w:rsid w:val="00C67C71"/>
    <w:rsid w:val="00C9061A"/>
    <w:rsid w:val="00C933F8"/>
    <w:rsid w:val="00C96D5F"/>
    <w:rsid w:val="00C976C5"/>
    <w:rsid w:val="00CB364C"/>
    <w:rsid w:val="00CB494B"/>
    <w:rsid w:val="00CB4E93"/>
    <w:rsid w:val="00CC0E5C"/>
    <w:rsid w:val="00CD56C0"/>
    <w:rsid w:val="00CD79FF"/>
    <w:rsid w:val="00CE26C7"/>
    <w:rsid w:val="00CE41C0"/>
    <w:rsid w:val="00CE5790"/>
    <w:rsid w:val="00CF7AFE"/>
    <w:rsid w:val="00D01789"/>
    <w:rsid w:val="00D03A94"/>
    <w:rsid w:val="00D115FF"/>
    <w:rsid w:val="00D15993"/>
    <w:rsid w:val="00D17A65"/>
    <w:rsid w:val="00D2481F"/>
    <w:rsid w:val="00D2579B"/>
    <w:rsid w:val="00D336BC"/>
    <w:rsid w:val="00D36800"/>
    <w:rsid w:val="00D36CCE"/>
    <w:rsid w:val="00D40249"/>
    <w:rsid w:val="00D51AE2"/>
    <w:rsid w:val="00D63DC5"/>
    <w:rsid w:val="00D733FE"/>
    <w:rsid w:val="00D75C63"/>
    <w:rsid w:val="00D76724"/>
    <w:rsid w:val="00D82A13"/>
    <w:rsid w:val="00D87A76"/>
    <w:rsid w:val="00D92480"/>
    <w:rsid w:val="00D9304C"/>
    <w:rsid w:val="00D931F6"/>
    <w:rsid w:val="00D958A1"/>
    <w:rsid w:val="00DB6556"/>
    <w:rsid w:val="00DB7740"/>
    <w:rsid w:val="00DC71D9"/>
    <w:rsid w:val="00DD0743"/>
    <w:rsid w:val="00DD0E4C"/>
    <w:rsid w:val="00DD306A"/>
    <w:rsid w:val="00DE2651"/>
    <w:rsid w:val="00DE49E8"/>
    <w:rsid w:val="00DF238D"/>
    <w:rsid w:val="00E0239B"/>
    <w:rsid w:val="00E02D68"/>
    <w:rsid w:val="00E0715C"/>
    <w:rsid w:val="00E14229"/>
    <w:rsid w:val="00E228AD"/>
    <w:rsid w:val="00E24428"/>
    <w:rsid w:val="00E33E69"/>
    <w:rsid w:val="00E40448"/>
    <w:rsid w:val="00E41474"/>
    <w:rsid w:val="00E4243B"/>
    <w:rsid w:val="00E44BA1"/>
    <w:rsid w:val="00E5493F"/>
    <w:rsid w:val="00E55A27"/>
    <w:rsid w:val="00E56D46"/>
    <w:rsid w:val="00E57CCE"/>
    <w:rsid w:val="00E57EF9"/>
    <w:rsid w:val="00E60A32"/>
    <w:rsid w:val="00E62A74"/>
    <w:rsid w:val="00E6396D"/>
    <w:rsid w:val="00E63F76"/>
    <w:rsid w:val="00E63FEA"/>
    <w:rsid w:val="00E6791F"/>
    <w:rsid w:val="00E71DF6"/>
    <w:rsid w:val="00E72451"/>
    <w:rsid w:val="00E73841"/>
    <w:rsid w:val="00E75154"/>
    <w:rsid w:val="00E878C4"/>
    <w:rsid w:val="00E87BF0"/>
    <w:rsid w:val="00E9317C"/>
    <w:rsid w:val="00EC4DC2"/>
    <w:rsid w:val="00ED0087"/>
    <w:rsid w:val="00ED1920"/>
    <w:rsid w:val="00ED6740"/>
    <w:rsid w:val="00ED7276"/>
    <w:rsid w:val="00EE28E3"/>
    <w:rsid w:val="00EF4ADB"/>
    <w:rsid w:val="00F02352"/>
    <w:rsid w:val="00F113C2"/>
    <w:rsid w:val="00F12195"/>
    <w:rsid w:val="00F13A67"/>
    <w:rsid w:val="00F177B8"/>
    <w:rsid w:val="00F33691"/>
    <w:rsid w:val="00F46860"/>
    <w:rsid w:val="00F52312"/>
    <w:rsid w:val="00F54D23"/>
    <w:rsid w:val="00F66D9E"/>
    <w:rsid w:val="00F72517"/>
    <w:rsid w:val="00F77AF7"/>
    <w:rsid w:val="00F82A6A"/>
    <w:rsid w:val="00F82B2A"/>
    <w:rsid w:val="00F912D0"/>
    <w:rsid w:val="00F93429"/>
    <w:rsid w:val="00F939E1"/>
    <w:rsid w:val="00F93B55"/>
    <w:rsid w:val="00FA4800"/>
    <w:rsid w:val="00FB6C05"/>
    <w:rsid w:val="00FC756E"/>
    <w:rsid w:val="00FD79E3"/>
    <w:rsid w:val="00FE65AD"/>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4C1669-3AD8-44C8-B72E-EC247317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1B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4D09"/>
    <w:rPr>
      <w:rFonts w:ascii="Times New Roman" w:hAnsi="Times New Roman" w:cs="Times New Roman"/>
      <w:sz w:val="2"/>
    </w:rPr>
  </w:style>
  <w:style w:type="paragraph" w:styleId="Header">
    <w:name w:val="header"/>
    <w:basedOn w:val="Normal"/>
    <w:link w:val="HeaderChar"/>
    <w:uiPriority w:val="99"/>
    <w:rsid w:val="009B59D0"/>
    <w:pPr>
      <w:tabs>
        <w:tab w:val="center" w:pos="4320"/>
        <w:tab w:val="right" w:pos="8640"/>
      </w:tabs>
    </w:pPr>
  </w:style>
  <w:style w:type="character" w:customStyle="1" w:styleId="HeaderChar">
    <w:name w:val="Header Char"/>
    <w:basedOn w:val="DefaultParagraphFont"/>
    <w:link w:val="Header"/>
    <w:uiPriority w:val="99"/>
    <w:locked/>
    <w:rsid w:val="009B59D0"/>
    <w:rPr>
      <w:rFonts w:cs="Times New Roman"/>
    </w:rPr>
  </w:style>
  <w:style w:type="paragraph" w:styleId="Footer">
    <w:name w:val="footer"/>
    <w:basedOn w:val="Normal"/>
    <w:link w:val="FooterChar"/>
    <w:uiPriority w:val="99"/>
    <w:rsid w:val="009B59D0"/>
    <w:pPr>
      <w:tabs>
        <w:tab w:val="center" w:pos="4320"/>
        <w:tab w:val="right" w:pos="8640"/>
      </w:tabs>
    </w:pPr>
  </w:style>
  <w:style w:type="character" w:customStyle="1" w:styleId="FooterChar">
    <w:name w:val="Footer Char"/>
    <w:basedOn w:val="DefaultParagraphFont"/>
    <w:link w:val="Footer"/>
    <w:uiPriority w:val="99"/>
    <w:locked/>
    <w:rsid w:val="009B59D0"/>
    <w:rPr>
      <w:rFonts w:cs="Times New Roman"/>
    </w:rPr>
  </w:style>
  <w:style w:type="character" w:styleId="Hyperlink">
    <w:name w:val="Hyperlink"/>
    <w:basedOn w:val="DefaultParagraphFont"/>
    <w:uiPriority w:val="99"/>
    <w:rsid w:val="00DE49E8"/>
    <w:rPr>
      <w:rFonts w:cs="Times New Roman"/>
      <w:color w:val="0000FF"/>
      <w:u w:val="single"/>
    </w:rPr>
  </w:style>
  <w:style w:type="character" w:customStyle="1" w:styleId="EmailStyle221">
    <w:name w:val="EmailStyle221"/>
    <w:basedOn w:val="DefaultParagraphFont"/>
    <w:uiPriority w:val="99"/>
    <w:semiHidden/>
    <w:rsid w:val="00E57CCE"/>
    <w:rPr>
      <w:rFonts w:ascii="Arial" w:hAnsi="Arial" w:cs="Arial"/>
      <w:color w:val="000080"/>
      <w:sz w:val="20"/>
      <w:szCs w:val="20"/>
    </w:rPr>
  </w:style>
  <w:style w:type="character" w:styleId="Strong">
    <w:name w:val="Strong"/>
    <w:basedOn w:val="DefaultParagraphFont"/>
    <w:uiPriority w:val="99"/>
    <w:qFormat/>
    <w:locked/>
    <w:rsid w:val="006A1E58"/>
    <w:rPr>
      <w:rFonts w:cs="Times New Roman"/>
      <w:b/>
      <w:bCs/>
    </w:rPr>
  </w:style>
  <w:style w:type="character" w:customStyle="1" w:styleId="st">
    <w:name w:val="st"/>
    <w:basedOn w:val="DefaultParagraphFont"/>
    <w:uiPriority w:val="99"/>
    <w:rsid w:val="002D427C"/>
    <w:rPr>
      <w:rFonts w:cs="Times New Roman"/>
    </w:rPr>
  </w:style>
  <w:style w:type="character" w:styleId="PageNumber">
    <w:name w:val="page number"/>
    <w:basedOn w:val="DefaultParagraphFont"/>
    <w:uiPriority w:val="99"/>
    <w:rsid w:val="002D6D2A"/>
    <w:rPr>
      <w:rFonts w:cs="Times New Roman"/>
    </w:rPr>
  </w:style>
  <w:style w:type="paragraph" w:customStyle="1" w:styleId="msolistparagraph0">
    <w:name w:val="msolistparagraph"/>
    <w:basedOn w:val="Normal"/>
    <w:uiPriority w:val="99"/>
    <w:rsid w:val="001404FB"/>
    <w:pPr>
      <w:ind w:left="720"/>
    </w:pPr>
    <w:rPr>
      <w:rFonts w:ascii="Times New Roman" w:hAnsi="Times New Roman"/>
    </w:rPr>
  </w:style>
  <w:style w:type="paragraph" w:styleId="ListParagraph">
    <w:name w:val="List Paragraph"/>
    <w:basedOn w:val="Normal"/>
    <w:uiPriority w:val="99"/>
    <w:qFormat/>
    <w:rsid w:val="00F912D0"/>
    <w:pPr>
      <w:spacing w:after="200" w:line="276" w:lineRule="auto"/>
      <w:ind w:left="720"/>
      <w:contextualSpacing/>
    </w:pPr>
    <w:rPr>
      <w:rFonts w:ascii="Calibri" w:eastAsia="SimSun" w:hAnsi="Calibri" w:cs="Cordia New"/>
      <w:sz w:val="22"/>
      <w:szCs w:val="28"/>
      <w:lang w:eastAsia="zh-CN" w:bidi="th-TH"/>
    </w:rPr>
  </w:style>
  <w:style w:type="paragraph" w:styleId="PlainText">
    <w:name w:val="Plain Text"/>
    <w:basedOn w:val="Normal"/>
    <w:link w:val="PlainTextChar"/>
    <w:uiPriority w:val="99"/>
    <w:rsid w:val="00F912D0"/>
    <w:rPr>
      <w:rFonts w:ascii="Courier New" w:eastAsia="SimSun" w:hAnsi="Courier New" w:cs="Courier New"/>
      <w:sz w:val="20"/>
      <w:szCs w:val="20"/>
    </w:rPr>
  </w:style>
  <w:style w:type="character" w:customStyle="1" w:styleId="PlainTextChar">
    <w:name w:val="Plain Text Char"/>
    <w:basedOn w:val="DefaultParagraphFont"/>
    <w:link w:val="PlainText"/>
    <w:uiPriority w:val="99"/>
    <w:semiHidden/>
    <w:locked/>
    <w:rsid w:val="00F912D0"/>
    <w:rPr>
      <w:rFonts w:ascii="Courier New" w:eastAsia="SimSun" w:hAnsi="Courier New" w:cs="Courier New"/>
      <w:lang w:val="en-US" w:eastAsia="en-US" w:bidi="ar-SA"/>
    </w:rPr>
  </w:style>
  <w:style w:type="character" w:customStyle="1" w:styleId="EmailStyle301">
    <w:name w:val="EmailStyle301"/>
    <w:basedOn w:val="DefaultParagraphFont"/>
    <w:uiPriority w:val="99"/>
    <w:semiHidden/>
    <w:rsid w:val="009B528A"/>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020506">
      <w:marLeft w:val="0"/>
      <w:marRight w:val="0"/>
      <w:marTop w:val="0"/>
      <w:marBottom w:val="0"/>
      <w:divBdr>
        <w:top w:val="none" w:sz="0" w:space="0" w:color="auto"/>
        <w:left w:val="none" w:sz="0" w:space="0" w:color="auto"/>
        <w:bottom w:val="none" w:sz="0" w:space="0" w:color="auto"/>
        <w:right w:val="none" w:sz="0" w:space="0" w:color="auto"/>
      </w:divBdr>
      <w:divsChild>
        <w:div w:id="1599020508">
          <w:marLeft w:val="0"/>
          <w:marRight w:val="0"/>
          <w:marTop w:val="0"/>
          <w:marBottom w:val="0"/>
          <w:divBdr>
            <w:top w:val="none" w:sz="0" w:space="0" w:color="auto"/>
            <w:left w:val="none" w:sz="0" w:space="0" w:color="auto"/>
            <w:bottom w:val="none" w:sz="0" w:space="0" w:color="auto"/>
            <w:right w:val="none" w:sz="0" w:space="0" w:color="auto"/>
          </w:divBdr>
          <w:divsChild>
            <w:div w:id="15990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0509">
      <w:marLeft w:val="0"/>
      <w:marRight w:val="0"/>
      <w:marTop w:val="0"/>
      <w:marBottom w:val="0"/>
      <w:divBdr>
        <w:top w:val="none" w:sz="0" w:space="0" w:color="auto"/>
        <w:left w:val="none" w:sz="0" w:space="0" w:color="auto"/>
        <w:bottom w:val="none" w:sz="0" w:space="0" w:color="auto"/>
        <w:right w:val="none" w:sz="0" w:space="0" w:color="auto"/>
      </w:divBdr>
    </w:div>
    <w:div w:id="1599020522">
      <w:marLeft w:val="0"/>
      <w:marRight w:val="0"/>
      <w:marTop w:val="0"/>
      <w:marBottom w:val="0"/>
      <w:divBdr>
        <w:top w:val="none" w:sz="0" w:space="0" w:color="auto"/>
        <w:left w:val="none" w:sz="0" w:space="0" w:color="auto"/>
        <w:bottom w:val="none" w:sz="0" w:space="0" w:color="auto"/>
        <w:right w:val="none" w:sz="0" w:space="0" w:color="auto"/>
      </w:divBdr>
      <w:divsChild>
        <w:div w:id="1599020511">
          <w:marLeft w:val="0"/>
          <w:marRight w:val="0"/>
          <w:marTop w:val="0"/>
          <w:marBottom w:val="0"/>
          <w:divBdr>
            <w:top w:val="none" w:sz="0" w:space="0" w:color="auto"/>
            <w:left w:val="none" w:sz="0" w:space="0" w:color="auto"/>
            <w:bottom w:val="none" w:sz="0" w:space="0" w:color="auto"/>
            <w:right w:val="none" w:sz="0" w:space="0" w:color="auto"/>
          </w:divBdr>
          <w:divsChild>
            <w:div w:id="1599020510">
              <w:marLeft w:val="0"/>
              <w:marRight w:val="0"/>
              <w:marTop w:val="0"/>
              <w:marBottom w:val="0"/>
              <w:divBdr>
                <w:top w:val="none" w:sz="0" w:space="0" w:color="auto"/>
                <w:left w:val="none" w:sz="0" w:space="0" w:color="auto"/>
                <w:bottom w:val="none" w:sz="0" w:space="0" w:color="auto"/>
                <w:right w:val="none" w:sz="0" w:space="0" w:color="auto"/>
              </w:divBdr>
            </w:div>
            <w:div w:id="1599020512">
              <w:marLeft w:val="0"/>
              <w:marRight w:val="0"/>
              <w:marTop w:val="0"/>
              <w:marBottom w:val="0"/>
              <w:divBdr>
                <w:top w:val="none" w:sz="0" w:space="0" w:color="auto"/>
                <w:left w:val="none" w:sz="0" w:space="0" w:color="auto"/>
                <w:bottom w:val="none" w:sz="0" w:space="0" w:color="auto"/>
                <w:right w:val="none" w:sz="0" w:space="0" w:color="auto"/>
              </w:divBdr>
            </w:div>
            <w:div w:id="1599020513">
              <w:marLeft w:val="0"/>
              <w:marRight w:val="0"/>
              <w:marTop w:val="0"/>
              <w:marBottom w:val="0"/>
              <w:divBdr>
                <w:top w:val="none" w:sz="0" w:space="0" w:color="auto"/>
                <w:left w:val="none" w:sz="0" w:space="0" w:color="auto"/>
                <w:bottom w:val="none" w:sz="0" w:space="0" w:color="auto"/>
                <w:right w:val="none" w:sz="0" w:space="0" w:color="auto"/>
              </w:divBdr>
            </w:div>
            <w:div w:id="1599020514">
              <w:marLeft w:val="0"/>
              <w:marRight w:val="0"/>
              <w:marTop w:val="0"/>
              <w:marBottom w:val="0"/>
              <w:divBdr>
                <w:top w:val="none" w:sz="0" w:space="0" w:color="auto"/>
                <w:left w:val="none" w:sz="0" w:space="0" w:color="auto"/>
                <w:bottom w:val="none" w:sz="0" w:space="0" w:color="auto"/>
                <w:right w:val="none" w:sz="0" w:space="0" w:color="auto"/>
              </w:divBdr>
            </w:div>
            <w:div w:id="1599020515">
              <w:marLeft w:val="0"/>
              <w:marRight w:val="0"/>
              <w:marTop w:val="0"/>
              <w:marBottom w:val="0"/>
              <w:divBdr>
                <w:top w:val="none" w:sz="0" w:space="0" w:color="auto"/>
                <w:left w:val="none" w:sz="0" w:space="0" w:color="auto"/>
                <w:bottom w:val="none" w:sz="0" w:space="0" w:color="auto"/>
                <w:right w:val="none" w:sz="0" w:space="0" w:color="auto"/>
              </w:divBdr>
            </w:div>
            <w:div w:id="1599020516">
              <w:marLeft w:val="0"/>
              <w:marRight w:val="0"/>
              <w:marTop w:val="0"/>
              <w:marBottom w:val="0"/>
              <w:divBdr>
                <w:top w:val="none" w:sz="0" w:space="0" w:color="auto"/>
                <w:left w:val="none" w:sz="0" w:space="0" w:color="auto"/>
                <w:bottom w:val="none" w:sz="0" w:space="0" w:color="auto"/>
                <w:right w:val="none" w:sz="0" w:space="0" w:color="auto"/>
              </w:divBdr>
            </w:div>
            <w:div w:id="1599020517">
              <w:marLeft w:val="0"/>
              <w:marRight w:val="0"/>
              <w:marTop w:val="0"/>
              <w:marBottom w:val="0"/>
              <w:divBdr>
                <w:top w:val="none" w:sz="0" w:space="0" w:color="auto"/>
                <w:left w:val="none" w:sz="0" w:space="0" w:color="auto"/>
                <w:bottom w:val="none" w:sz="0" w:space="0" w:color="auto"/>
                <w:right w:val="none" w:sz="0" w:space="0" w:color="auto"/>
              </w:divBdr>
            </w:div>
            <w:div w:id="1599020518">
              <w:marLeft w:val="0"/>
              <w:marRight w:val="0"/>
              <w:marTop w:val="0"/>
              <w:marBottom w:val="0"/>
              <w:divBdr>
                <w:top w:val="none" w:sz="0" w:space="0" w:color="auto"/>
                <w:left w:val="none" w:sz="0" w:space="0" w:color="auto"/>
                <w:bottom w:val="none" w:sz="0" w:space="0" w:color="auto"/>
                <w:right w:val="none" w:sz="0" w:space="0" w:color="auto"/>
              </w:divBdr>
            </w:div>
            <w:div w:id="1599020519">
              <w:marLeft w:val="0"/>
              <w:marRight w:val="0"/>
              <w:marTop w:val="0"/>
              <w:marBottom w:val="0"/>
              <w:divBdr>
                <w:top w:val="none" w:sz="0" w:space="0" w:color="auto"/>
                <w:left w:val="none" w:sz="0" w:space="0" w:color="auto"/>
                <w:bottom w:val="none" w:sz="0" w:space="0" w:color="auto"/>
                <w:right w:val="none" w:sz="0" w:space="0" w:color="auto"/>
              </w:divBdr>
            </w:div>
            <w:div w:id="1599020520">
              <w:marLeft w:val="0"/>
              <w:marRight w:val="0"/>
              <w:marTop w:val="0"/>
              <w:marBottom w:val="0"/>
              <w:divBdr>
                <w:top w:val="none" w:sz="0" w:space="0" w:color="auto"/>
                <w:left w:val="none" w:sz="0" w:space="0" w:color="auto"/>
                <w:bottom w:val="none" w:sz="0" w:space="0" w:color="auto"/>
                <w:right w:val="none" w:sz="0" w:space="0" w:color="auto"/>
              </w:divBdr>
            </w:div>
            <w:div w:id="1599020521">
              <w:marLeft w:val="0"/>
              <w:marRight w:val="0"/>
              <w:marTop w:val="0"/>
              <w:marBottom w:val="0"/>
              <w:divBdr>
                <w:top w:val="none" w:sz="0" w:space="0" w:color="auto"/>
                <w:left w:val="none" w:sz="0" w:space="0" w:color="auto"/>
                <w:bottom w:val="none" w:sz="0" w:space="0" w:color="auto"/>
                <w:right w:val="none" w:sz="0" w:space="0" w:color="auto"/>
              </w:divBdr>
            </w:div>
            <w:div w:id="1599020523">
              <w:marLeft w:val="0"/>
              <w:marRight w:val="0"/>
              <w:marTop w:val="0"/>
              <w:marBottom w:val="0"/>
              <w:divBdr>
                <w:top w:val="none" w:sz="0" w:space="0" w:color="auto"/>
                <w:left w:val="none" w:sz="0" w:space="0" w:color="auto"/>
                <w:bottom w:val="none" w:sz="0" w:space="0" w:color="auto"/>
                <w:right w:val="none" w:sz="0" w:space="0" w:color="auto"/>
              </w:divBdr>
            </w:div>
            <w:div w:id="1599020524">
              <w:marLeft w:val="0"/>
              <w:marRight w:val="0"/>
              <w:marTop w:val="0"/>
              <w:marBottom w:val="0"/>
              <w:divBdr>
                <w:top w:val="none" w:sz="0" w:space="0" w:color="auto"/>
                <w:left w:val="none" w:sz="0" w:space="0" w:color="auto"/>
                <w:bottom w:val="none" w:sz="0" w:space="0" w:color="auto"/>
                <w:right w:val="none" w:sz="0" w:space="0" w:color="auto"/>
              </w:divBdr>
            </w:div>
            <w:div w:id="1599020525">
              <w:marLeft w:val="0"/>
              <w:marRight w:val="0"/>
              <w:marTop w:val="0"/>
              <w:marBottom w:val="0"/>
              <w:divBdr>
                <w:top w:val="none" w:sz="0" w:space="0" w:color="auto"/>
                <w:left w:val="none" w:sz="0" w:space="0" w:color="auto"/>
                <w:bottom w:val="none" w:sz="0" w:space="0" w:color="auto"/>
                <w:right w:val="none" w:sz="0" w:space="0" w:color="auto"/>
              </w:divBdr>
            </w:div>
            <w:div w:id="1599020526">
              <w:marLeft w:val="0"/>
              <w:marRight w:val="0"/>
              <w:marTop w:val="0"/>
              <w:marBottom w:val="0"/>
              <w:divBdr>
                <w:top w:val="none" w:sz="0" w:space="0" w:color="auto"/>
                <w:left w:val="none" w:sz="0" w:space="0" w:color="auto"/>
                <w:bottom w:val="none" w:sz="0" w:space="0" w:color="auto"/>
                <w:right w:val="none" w:sz="0" w:space="0" w:color="auto"/>
              </w:divBdr>
            </w:div>
            <w:div w:id="1599020527">
              <w:marLeft w:val="0"/>
              <w:marRight w:val="0"/>
              <w:marTop w:val="0"/>
              <w:marBottom w:val="0"/>
              <w:divBdr>
                <w:top w:val="none" w:sz="0" w:space="0" w:color="auto"/>
                <w:left w:val="none" w:sz="0" w:space="0" w:color="auto"/>
                <w:bottom w:val="none" w:sz="0" w:space="0" w:color="auto"/>
                <w:right w:val="none" w:sz="0" w:space="0" w:color="auto"/>
              </w:divBdr>
            </w:div>
            <w:div w:id="1599020528">
              <w:marLeft w:val="0"/>
              <w:marRight w:val="0"/>
              <w:marTop w:val="0"/>
              <w:marBottom w:val="0"/>
              <w:divBdr>
                <w:top w:val="none" w:sz="0" w:space="0" w:color="auto"/>
                <w:left w:val="none" w:sz="0" w:space="0" w:color="auto"/>
                <w:bottom w:val="none" w:sz="0" w:space="0" w:color="auto"/>
                <w:right w:val="none" w:sz="0" w:space="0" w:color="auto"/>
              </w:divBdr>
            </w:div>
            <w:div w:id="1599020529">
              <w:marLeft w:val="0"/>
              <w:marRight w:val="0"/>
              <w:marTop w:val="0"/>
              <w:marBottom w:val="0"/>
              <w:divBdr>
                <w:top w:val="none" w:sz="0" w:space="0" w:color="auto"/>
                <w:left w:val="none" w:sz="0" w:space="0" w:color="auto"/>
                <w:bottom w:val="none" w:sz="0" w:space="0" w:color="auto"/>
                <w:right w:val="none" w:sz="0" w:space="0" w:color="auto"/>
              </w:divBdr>
            </w:div>
            <w:div w:id="1599020530">
              <w:marLeft w:val="0"/>
              <w:marRight w:val="0"/>
              <w:marTop w:val="0"/>
              <w:marBottom w:val="0"/>
              <w:divBdr>
                <w:top w:val="none" w:sz="0" w:space="0" w:color="auto"/>
                <w:left w:val="none" w:sz="0" w:space="0" w:color="auto"/>
                <w:bottom w:val="none" w:sz="0" w:space="0" w:color="auto"/>
                <w:right w:val="none" w:sz="0" w:space="0" w:color="auto"/>
              </w:divBdr>
            </w:div>
            <w:div w:id="1599020531">
              <w:marLeft w:val="0"/>
              <w:marRight w:val="0"/>
              <w:marTop w:val="0"/>
              <w:marBottom w:val="0"/>
              <w:divBdr>
                <w:top w:val="none" w:sz="0" w:space="0" w:color="auto"/>
                <w:left w:val="none" w:sz="0" w:space="0" w:color="auto"/>
                <w:bottom w:val="none" w:sz="0" w:space="0" w:color="auto"/>
                <w:right w:val="none" w:sz="0" w:space="0" w:color="auto"/>
              </w:divBdr>
            </w:div>
            <w:div w:id="1599020532">
              <w:marLeft w:val="0"/>
              <w:marRight w:val="0"/>
              <w:marTop w:val="0"/>
              <w:marBottom w:val="0"/>
              <w:divBdr>
                <w:top w:val="none" w:sz="0" w:space="0" w:color="auto"/>
                <w:left w:val="none" w:sz="0" w:space="0" w:color="auto"/>
                <w:bottom w:val="none" w:sz="0" w:space="0" w:color="auto"/>
                <w:right w:val="none" w:sz="0" w:space="0" w:color="auto"/>
              </w:divBdr>
            </w:div>
            <w:div w:id="1599020533">
              <w:marLeft w:val="0"/>
              <w:marRight w:val="0"/>
              <w:marTop w:val="0"/>
              <w:marBottom w:val="0"/>
              <w:divBdr>
                <w:top w:val="none" w:sz="0" w:space="0" w:color="auto"/>
                <w:left w:val="none" w:sz="0" w:space="0" w:color="auto"/>
                <w:bottom w:val="none" w:sz="0" w:space="0" w:color="auto"/>
                <w:right w:val="none" w:sz="0" w:space="0" w:color="auto"/>
              </w:divBdr>
            </w:div>
            <w:div w:id="1599020534">
              <w:marLeft w:val="0"/>
              <w:marRight w:val="0"/>
              <w:marTop w:val="0"/>
              <w:marBottom w:val="0"/>
              <w:divBdr>
                <w:top w:val="none" w:sz="0" w:space="0" w:color="auto"/>
                <w:left w:val="none" w:sz="0" w:space="0" w:color="auto"/>
                <w:bottom w:val="none" w:sz="0" w:space="0" w:color="auto"/>
                <w:right w:val="none" w:sz="0" w:space="0" w:color="auto"/>
              </w:divBdr>
            </w:div>
            <w:div w:id="1599020535">
              <w:marLeft w:val="0"/>
              <w:marRight w:val="0"/>
              <w:marTop w:val="0"/>
              <w:marBottom w:val="0"/>
              <w:divBdr>
                <w:top w:val="none" w:sz="0" w:space="0" w:color="auto"/>
                <w:left w:val="none" w:sz="0" w:space="0" w:color="auto"/>
                <w:bottom w:val="none" w:sz="0" w:space="0" w:color="auto"/>
                <w:right w:val="none" w:sz="0" w:space="0" w:color="auto"/>
              </w:divBdr>
            </w:div>
            <w:div w:id="1599020536">
              <w:marLeft w:val="0"/>
              <w:marRight w:val="0"/>
              <w:marTop w:val="0"/>
              <w:marBottom w:val="0"/>
              <w:divBdr>
                <w:top w:val="none" w:sz="0" w:space="0" w:color="auto"/>
                <w:left w:val="none" w:sz="0" w:space="0" w:color="auto"/>
                <w:bottom w:val="none" w:sz="0" w:space="0" w:color="auto"/>
                <w:right w:val="none" w:sz="0" w:space="0" w:color="auto"/>
              </w:divBdr>
            </w:div>
            <w:div w:id="1599020537">
              <w:marLeft w:val="0"/>
              <w:marRight w:val="0"/>
              <w:marTop w:val="0"/>
              <w:marBottom w:val="0"/>
              <w:divBdr>
                <w:top w:val="none" w:sz="0" w:space="0" w:color="auto"/>
                <w:left w:val="none" w:sz="0" w:space="0" w:color="auto"/>
                <w:bottom w:val="none" w:sz="0" w:space="0" w:color="auto"/>
                <w:right w:val="none" w:sz="0" w:space="0" w:color="auto"/>
              </w:divBdr>
            </w:div>
            <w:div w:id="1599020538">
              <w:marLeft w:val="0"/>
              <w:marRight w:val="0"/>
              <w:marTop w:val="0"/>
              <w:marBottom w:val="0"/>
              <w:divBdr>
                <w:top w:val="none" w:sz="0" w:space="0" w:color="auto"/>
                <w:left w:val="none" w:sz="0" w:space="0" w:color="auto"/>
                <w:bottom w:val="none" w:sz="0" w:space="0" w:color="auto"/>
                <w:right w:val="none" w:sz="0" w:space="0" w:color="auto"/>
              </w:divBdr>
            </w:div>
            <w:div w:id="1599020539">
              <w:marLeft w:val="0"/>
              <w:marRight w:val="0"/>
              <w:marTop w:val="0"/>
              <w:marBottom w:val="0"/>
              <w:divBdr>
                <w:top w:val="none" w:sz="0" w:space="0" w:color="auto"/>
                <w:left w:val="none" w:sz="0" w:space="0" w:color="auto"/>
                <w:bottom w:val="none" w:sz="0" w:space="0" w:color="auto"/>
                <w:right w:val="none" w:sz="0" w:space="0" w:color="auto"/>
              </w:divBdr>
            </w:div>
            <w:div w:id="1599020540">
              <w:marLeft w:val="0"/>
              <w:marRight w:val="0"/>
              <w:marTop w:val="0"/>
              <w:marBottom w:val="0"/>
              <w:divBdr>
                <w:top w:val="none" w:sz="0" w:space="0" w:color="auto"/>
                <w:left w:val="none" w:sz="0" w:space="0" w:color="auto"/>
                <w:bottom w:val="none" w:sz="0" w:space="0" w:color="auto"/>
                <w:right w:val="none" w:sz="0" w:space="0" w:color="auto"/>
              </w:divBdr>
            </w:div>
            <w:div w:id="1599020541">
              <w:marLeft w:val="0"/>
              <w:marRight w:val="0"/>
              <w:marTop w:val="0"/>
              <w:marBottom w:val="0"/>
              <w:divBdr>
                <w:top w:val="none" w:sz="0" w:space="0" w:color="auto"/>
                <w:left w:val="none" w:sz="0" w:space="0" w:color="auto"/>
                <w:bottom w:val="none" w:sz="0" w:space="0" w:color="auto"/>
                <w:right w:val="none" w:sz="0" w:space="0" w:color="auto"/>
              </w:divBdr>
            </w:div>
            <w:div w:id="1599020542">
              <w:marLeft w:val="0"/>
              <w:marRight w:val="0"/>
              <w:marTop w:val="0"/>
              <w:marBottom w:val="0"/>
              <w:divBdr>
                <w:top w:val="none" w:sz="0" w:space="0" w:color="auto"/>
                <w:left w:val="none" w:sz="0" w:space="0" w:color="auto"/>
                <w:bottom w:val="none" w:sz="0" w:space="0" w:color="auto"/>
                <w:right w:val="none" w:sz="0" w:space="0" w:color="auto"/>
              </w:divBdr>
            </w:div>
            <w:div w:id="1599020543">
              <w:marLeft w:val="0"/>
              <w:marRight w:val="0"/>
              <w:marTop w:val="0"/>
              <w:marBottom w:val="0"/>
              <w:divBdr>
                <w:top w:val="none" w:sz="0" w:space="0" w:color="auto"/>
                <w:left w:val="none" w:sz="0" w:space="0" w:color="auto"/>
                <w:bottom w:val="none" w:sz="0" w:space="0" w:color="auto"/>
                <w:right w:val="none" w:sz="0" w:space="0" w:color="auto"/>
              </w:divBdr>
            </w:div>
            <w:div w:id="1599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0547">
      <w:marLeft w:val="0"/>
      <w:marRight w:val="0"/>
      <w:marTop w:val="0"/>
      <w:marBottom w:val="0"/>
      <w:divBdr>
        <w:top w:val="none" w:sz="0" w:space="0" w:color="auto"/>
        <w:left w:val="none" w:sz="0" w:space="0" w:color="auto"/>
        <w:bottom w:val="none" w:sz="0" w:space="0" w:color="auto"/>
        <w:right w:val="none" w:sz="0" w:space="0" w:color="auto"/>
      </w:divBdr>
      <w:divsChild>
        <w:div w:id="1599020545">
          <w:marLeft w:val="0"/>
          <w:marRight w:val="0"/>
          <w:marTop w:val="0"/>
          <w:marBottom w:val="0"/>
          <w:divBdr>
            <w:top w:val="none" w:sz="0" w:space="0" w:color="auto"/>
            <w:left w:val="none" w:sz="0" w:space="0" w:color="auto"/>
            <w:bottom w:val="none" w:sz="0" w:space="0" w:color="auto"/>
            <w:right w:val="none" w:sz="0" w:space="0" w:color="auto"/>
          </w:divBdr>
          <w:divsChild>
            <w:div w:id="15990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0548">
      <w:marLeft w:val="0"/>
      <w:marRight w:val="0"/>
      <w:marTop w:val="0"/>
      <w:marBottom w:val="0"/>
      <w:divBdr>
        <w:top w:val="none" w:sz="0" w:space="0" w:color="auto"/>
        <w:left w:val="none" w:sz="0" w:space="0" w:color="auto"/>
        <w:bottom w:val="none" w:sz="0" w:space="0" w:color="auto"/>
        <w:right w:val="none" w:sz="0" w:space="0" w:color="auto"/>
      </w:divBdr>
      <w:divsChild>
        <w:div w:id="1599020546">
          <w:marLeft w:val="0"/>
          <w:marRight w:val="0"/>
          <w:marTop w:val="0"/>
          <w:marBottom w:val="0"/>
          <w:divBdr>
            <w:top w:val="none" w:sz="0" w:space="0" w:color="auto"/>
            <w:left w:val="none" w:sz="0" w:space="0" w:color="auto"/>
            <w:bottom w:val="none" w:sz="0" w:space="0" w:color="auto"/>
            <w:right w:val="none" w:sz="0" w:space="0" w:color="auto"/>
          </w:divBdr>
        </w:div>
      </w:divsChild>
    </w:div>
    <w:div w:id="1599020549">
      <w:marLeft w:val="0"/>
      <w:marRight w:val="0"/>
      <w:marTop w:val="0"/>
      <w:marBottom w:val="0"/>
      <w:divBdr>
        <w:top w:val="none" w:sz="0" w:space="0" w:color="auto"/>
        <w:left w:val="none" w:sz="0" w:space="0" w:color="auto"/>
        <w:bottom w:val="none" w:sz="0" w:space="0" w:color="auto"/>
        <w:right w:val="none" w:sz="0" w:space="0" w:color="auto"/>
      </w:divBdr>
      <w:divsChild>
        <w:div w:id="1599020551">
          <w:marLeft w:val="0"/>
          <w:marRight w:val="0"/>
          <w:marTop w:val="0"/>
          <w:marBottom w:val="0"/>
          <w:divBdr>
            <w:top w:val="none" w:sz="0" w:space="0" w:color="auto"/>
            <w:left w:val="none" w:sz="0" w:space="0" w:color="auto"/>
            <w:bottom w:val="none" w:sz="0" w:space="0" w:color="auto"/>
            <w:right w:val="none" w:sz="0" w:space="0" w:color="auto"/>
          </w:divBdr>
        </w:div>
      </w:divsChild>
    </w:div>
    <w:div w:id="1599020553">
      <w:marLeft w:val="0"/>
      <w:marRight w:val="0"/>
      <w:marTop w:val="0"/>
      <w:marBottom w:val="0"/>
      <w:divBdr>
        <w:top w:val="none" w:sz="0" w:space="0" w:color="auto"/>
        <w:left w:val="none" w:sz="0" w:space="0" w:color="auto"/>
        <w:bottom w:val="none" w:sz="0" w:space="0" w:color="auto"/>
        <w:right w:val="none" w:sz="0" w:space="0" w:color="auto"/>
      </w:divBdr>
      <w:divsChild>
        <w:div w:id="1599020552">
          <w:marLeft w:val="0"/>
          <w:marRight w:val="0"/>
          <w:marTop w:val="0"/>
          <w:marBottom w:val="0"/>
          <w:divBdr>
            <w:top w:val="none" w:sz="0" w:space="0" w:color="auto"/>
            <w:left w:val="none" w:sz="0" w:space="0" w:color="auto"/>
            <w:bottom w:val="none" w:sz="0" w:space="0" w:color="auto"/>
            <w:right w:val="none" w:sz="0" w:space="0" w:color="auto"/>
          </w:divBdr>
        </w:div>
      </w:divsChild>
    </w:div>
    <w:div w:id="1599020554">
      <w:marLeft w:val="0"/>
      <w:marRight w:val="0"/>
      <w:marTop w:val="0"/>
      <w:marBottom w:val="0"/>
      <w:divBdr>
        <w:top w:val="none" w:sz="0" w:space="0" w:color="auto"/>
        <w:left w:val="none" w:sz="0" w:space="0" w:color="auto"/>
        <w:bottom w:val="none" w:sz="0" w:space="0" w:color="auto"/>
        <w:right w:val="none" w:sz="0" w:space="0" w:color="auto"/>
      </w:divBdr>
    </w:div>
    <w:div w:id="1599020556">
      <w:marLeft w:val="0"/>
      <w:marRight w:val="0"/>
      <w:marTop w:val="0"/>
      <w:marBottom w:val="0"/>
      <w:divBdr>
        <w:top w:val="none" w:sz="0" w:space="0" w:color="auto"/>
        <w:left w:val="none" w:sz="0" w:space="0" w:color="auto"/>
        <w:bottom w:val="none" w:sz="0" w:space="0" w:color="auto"/>
        <w:right w:val="none" w:sz="0" w:space="0" w:color="auto"/>
      </w:divBdr>
      <w:divsChild>
        <w:div w:id="1599020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 Release                                              </vt:lpstr>
    </vt:vector>
  </TitlesOfParts>
  <Company>Wm. McBride &amp; Associates LLC</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William McBride</dc:creator>
  <cp:keywords/>
  <dc:description/>
  <cp:lastModifiedBy>Michael Kitces</cp:lastModifiedBy>
  <cp:revision>2</cp:revision>
  <cp:lastPrinted>2012-11-06T21:31:00Z</cp:lastPrinted>
  <dcterms:created xsi:type="dcterms:W3CDTF">2015-02-15T14:51:00Z</dcterms:created>
  <dcterms:modified xsi:type="dcterms:W3CDTF">2015-02-15T14:51:00Z</dcterms:modified>
</cp:coreProperties>
</file>